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B3395" w14:textId="77777777" w:rsidR="00A127A6" w:rsidRPr="00BD2498" w:rsidRDefault="00A127A6" w:rsidP="00A127A6">
      <w:pPr>
        <w:snapToGrid w:val="0"/>
        <w:jc w:val="center"/>
        <w:rPr>
          <w:b/>
          <w:bCs/>
          <w:szCs w:val="28"/>
        </w:rPr>
      </w:pPr>
      <w:r w:rsidRPr="00BD2498">
        <w:rPr>
          <w:rFonts w:hint="eastAsia"/>
          <w:b/>
          <w:bCs/>
          <w:szCs w:val="28"/>
        </w:rPr>
        <w:t>中華民國證券商業同業公會</w:t>
      </w:r>
    </w:p>
    <w:p w14:paraId="41B6D63C" w14:textId="77777777" w:rsidR="00A127A6" w:rsidRPr="00BD2498" w:rsidRDefault="00A127A6" w:rsidP="00A127A6">
      <w:pPr>
        <w:snapToGrid w:val="0"/>
        <w:jc w:val="center"/>
        <w:rPr>
          <w:b/>
          <w:bCs/>
          <w:szCs w:val="28"/>
        </w:rPr>
      </w:pPr>
      <w:r w:rsidRPr="00BD2498">
        <w:rPr>
          <w:rFonts w:hint="eastAsia"/>
          <w:b/>
          <w:bCs/>
          <w:szCs w:val="28"/>
        </w:rPr>
        <w:t>證券商交割專戶留存客戶款項契約範本</w:t>
      </w:r>
    </w:p>
    <w:p w14:paraId="1E45A66C" w14:textId="2B12A131" w:rsidR="00A127A6" w:rsidRPr="00BD2498" w:rsidRDefault="00A127A6" w:rsidP="00A127A6">
      <w:pPr>
        <w:snapToGrid w:val="0"/>
        <w:jc w:val="center"/>
        <w:rPr>
          <w:b/>
          <w:bCs/>
          <w:szCs w:val="28"/>
        </w:rPr>
      </w:pPr>
      <w:r w:rsidRPr="00BD2498">
        <w:rPr>
          <w:rFonts w:hint="eastAsia"/>
          <w:b/>
          <w:bCs/>
          <w:szCs w:val="28"/>
        </w:rPr>
        <w:t>第二條、第三條修正條文對照表</w:t>
      </w:r>
    </w:p>
    <w:p w14:paraId="710E42EA" w14:textId="2C9C7E06" w:rsidR="00A127A6" w:rsidRPr="00BD2498" w:rsidRDefault="0004519A" w:rsidP="00A127A6">
      <w:pPr>
        <w:snapToGrid w:val="0"/>
        <w:spacing w:beforeLines="50" w:before="190"/>
        <w:jc w:val="right"/>
        <w:rPr>
          <w:szCs w:val="28"/>
        </w:rPr>
      </w:pPr>
      <w:r w:rsidRPr="003236C3">
        <w:rPr>
          <w:rFonts w:hint="eastAsia"/>
          <w:szCs w:val="28"/>
        </w:rPr>
        <w:t>1</w:t>
      </w:r>
      <w:r w:rsidRPr="003236C3">
        <w:rPr>
          <w:szCs w:val="28"/>
        </w:rPr>
        <w:t>1</w:t>
      </w:r>
      <w:r w:rsidR="003236C3" w:rsidRPr="003236C3">
        <w:rPr>
          <w:szCs w:val="28"/>
        </w:rPr>
        <w:t>4</w:t>
      </w:r>
      <w:r w:rsidRPr="003236C3">
        <w:rPr>
          <w:szCs w:val="28"/>
        </w:rPr>
        <w:t>.</w:t>
      </w:r>
      <w:r w:rsidR="003236C3">
        <w:rPr>
          <w:szCs w:val="28"/>
        </w:rPr>
        <w:t>1</w:t>
      </w:r>
    </w:p>
    <w:tbl>
      <w:tblPr>
        <w:tblStyle w:val="a3"/>
        <w:tblW w:w="10201" w:type="dxa"/>
        <w:jc w:val="center"/>
        <w:tblLook w:val="04A0" w:firstRow="1" w:lastRow="0" w:firstColumn="1" w:lastColumn="0" w:noHBand="0" w:noVBand="1"/>
      </w:tblPr>
      <w:tblGrid>
        <w:gridCol w:w="3754"/>
        <w:gridCol w:w="3754"/>
        <w:gridCol w:w="2693"/>
      </w:tblGrid>
      <w:tr w:rsidR="00BD2498" w:rsidRPr="00BD2498" w14:paraId="5D3625D7" w14:textId="77777777" w:rsidTr="006A6417">
        <w:trPr>
          <w:tblHeader/>
          <w:jc w:val="center"/>
        </w:trPr>
        <w:tc>
          <w:tcPr>
            <w:tcW w:w="3754" w:type="dxa"/>
          </w:tcPr>
          <w:p w14:paraId="4B2A085D" w14:textId="77777777" w:rsidR="00A127A6" w:rsidRPr="00BD2498" w:rsidRDefault="00A127A6" w:rsidP="006A6417">
            <w:pPr>
              <w:spacing w:line="360" w:lineRule="exact"/>
              <w:ind w:left="560"/>
              <w:jc w:val="center"/>
              <w:rPr>
                <w:rFonts w:ascii="Times New Roman" w:eastAsia="標楷體" w:hAnsi="Times New Roman" w:cs="Times New Roman"/>
                <w:sz w:val="28"/>
                <w:szCs w:val="28"/>
              </w:rPr>
            </w:pPr>
            <w:r w:rsidRPr="00BD2498">
              <w:rPr>
                <w:rFonts w:ascii="Times New Roman" w:eastAsia="標楷體" w:hAnsi="Times New Roman" w:cs="Times New Roman"/>
                <w:sz w:val="28"/>
                <w:szCs w:val="28"/>
              </w:rPr>
              <w:t>修正條文</w:t>
            </w:r>
          </w:p>
        </w:tc>
        <w:tc>
          <w:tcPr>
            <w:tcW w:w="3754" w:type="dxa"/>
          </w:tcPr>
          <w:p w14:paraId="268FAD48" w14:textId="77777777" w:rsidR="00A127A6" w:rsidRPr="00BD2498" w:rsidRDefault="00A127A6" w:rsidP="006A6417">
            <w:pPr>
              <w:adjustRightInd w:val="0"/>
              <w:snapToGrid w:val="0"/>
              <w:spacing w:line="400" w:lineRule="atLeast"/>
              <w:ind w:left="560"/>
              <w:jc w:val="center"/>
              <w:rPr>
                <w:rFonts w:ascii="標楷體" w:eastAsia="標楷體" w:hAnsi="標楷體" w:cs="Times New Roman"/>
                <w:sz w:val="28"/>
                <w:szCs w:val="28"/>
              </w:rPr>
            </w:pPr>
            <w:r w:rsidRPr="00BD2498">
              <w:rPr>
                <w:rFonts w:ascii="標楷體" w:eastAsia="標楷體" w:hAnsi="標楷體" w:cs="Times New Roman"/>
                <w:sz w:val="28"/>
                <w:szCs w:val="28"/>
              </w:rPr>
              <w:t>現行條文</w:t>
            </w:r>
          </w:p>
        </w:tc>
        <w:tc>
          <w:tcPr>
            <w:tcW w:w="2693" w:type="dxa"/>
          </w:tcPr>
          <w:p w14:paraId="70F7604C" w14:textId="77777777" w:rsidR="00A127A6" w:rsidRPr="00BD2498" w:rsidRDefault="00A127A6" w:rsidP="006A6417">
            <w:pPr>
              <w:spacing w:line="360" w:lineRule="exact"/>
              <w:ind w:left="560"/>
              <w:jc w:val="center"/>
              <w:rPr>
                <w:rFonts w:ascii="Times New Roman" w:eastAsia="標楷體" w:hAnsi="Times New Roman" w:cs="Times New Roman"/>
                <w:sz w:val="28"/>
                <w:szCs w:val="28"/>
              </w:rPr>
            </w:pPr>
            <w:r w:rsidRPr="00BD2498">
              <w:rPr>
                <w:rFonts w:ascii="Times New Roman" w:eastAsia="標楷體" w:hAnsi="Times New Roman" w:cs="Times New Roman"/>
                <w:sz w:val="28"/>
                <w:szCs w:val="28"/>
              </w:rPr>
              <w:t>說明</w:t>
            </w:r>
          </w:p>
        </w:tc>
      </w:tr>
      <w:tr w:rsidR="00BD2498" w:rsidRPr="00BD2498" w14:paraId="26DF8078" w14:textId="77777777" w:rsidTr="006A6417">
        <w:trPr>
          <w:trHeight w:val="1710"/>
          <w:jc w:val="center"/>
        </w:trPr>
        <w:tc>
          <w:tcPr>
            <w:tcW w:w="3754" w:type="dxa"/>
          </w:tcPr>
          <w:p w14:paraId="0156880B"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t>第二條（留存款項之範圍）</w:t>
            </w:r>
          </w:p>
          <w:p w14:paraId="6FADC6CA"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甲方同意留存交割款項於乙方交割專戶之範圍如次：【請甲方於同意留存之業務項目前以「v」標示之，對於不同意留存之業務項目以「×」標示之】</w:t>
            </w:r>
          </w:p>
          <w:p w14:paraId="78B02772"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以下全部業務項目。</w:t>
            </w:r>
          </w:p>
          <w:p w14:paraId="18E633BB"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在集中交易市場受託買賣有價證券。</w:t>
            </w:r>
          </w:p>
          <w:p w14:paraId="525B5563"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在其營業處所受託買賣有價證券。</w:t>
            </w:r>
          </w:p>
          <w:p w14:paraId="14E7A99C"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有價證券買賣融資融券。</w:t>
            </w:r>
          </w:p>
          <w:p w14:paraId="166275B4"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認購（售）權證履約。</w:t>
            </w:r>
          </w:p>
          <w:p w14:paraId="5A4A3E6D"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受託買賣外國有價證券及其複委託業務。</w:t>
            </w:r>
          </w:p>
          <w:p w14:paraId="6D49B2BD"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代理買賣外國債券。</w:t>
            </w:r>
          </w:p>
          <w:p w14:paraId="3F5AE004"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有價證券借貸。</w:t>
            </w:r>
          </w:p>
          <w:p w14:paraId="1C50CDE6"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證券業務借貸款項。</w:t>
            </w:r>
          </w:p>
          <w:p w14:paraId="62F7BF3A"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不限用途款項借貸業務。</w:t>
            </w:r>
          </w:p>
          <w:p w14:paraId="557009A2"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財富管理業務。</w:t>
            </w:r>
          </w:p>
          <w:p w14:paraId="462E6577"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營業處所自行買賣有價證券。</w:t>
            </w:r>
          </w:p>
          <w:p w14:paraId="7CF7695B"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營業處所經營衍生性金融商品交易業務。</w:t>
            </w:r>
          </w:p>
          <w:p w14:paraId="3A91D42D"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承銷有價證券。</w:t>
            </w:r>
          </w:p>
          <w:p w14:paraId="07858F9A"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以委任或信託方式經營全權委託投資業務。</w:t>
            </w:r>
          </w:p>
          <w:p w14:paraId="29E2C4D6"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u w:val="single"/>
              </w:rPr>
            </w:pPr>
            <w:r w:rsidRPr="00BD2498">
              <w:rPr>
                <w:rFonts w:ascii="標楷體" w:eastAsia="標楷體" w:hAnsi="標楷體" w:cs="Times New Roman" w:hint="eastAsia"/>
                <w:sz w:val="28"/>
                <w:szCs w:val="28"/>
                <w:u w:val="single"/>
              </w:rPr>
              <w:t>□ 證券投資信託基金申購。</w:t>
            </w:r>
          </w:p>
          <w:p w14:paraId="7BA620ED"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其他經主管機關核准業務。</w:t>
            </w:r>
          </w:p>
          <w:p w14:paraId="2F4A2679" w14:textId="77777777" w:rsidR="00A127A6" w:rsidRPr="00BD2498" w:rsidRDefault="00A127A6" w:rsidP="006A6417">
            <w:pPr>
              <w:adjustRightInd w:val="0"/>
              <w:snapToGrid w:val="0"/>
              <w:spacing w:beforeLines="30" w:before="114" w:line="400" w:lineRule="atLeast"/>
              <w:ind w:left="560"/>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甲方同意因有價證券所生孳息，或因公開收購、併購、現金減資及其他經主管機關核准之股務作業應收款，匯撥至乙方交割專戶；惟實際匯入之帳戶以發行公司、公開收購人或併購人之受委任機構之股務作業機制辦理。</w:t>
            </w:r>
          </w:p>
        </w:tc>
        <w:tc>
          <w:tcPr>
            <w:tcW w:w="3754" w:type="dxa"/>
          </w:tcPr>
          <w:p w14:paraId="4AB2CBE5"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第二條（留存款項之範圍）</w:t>
            </w:r>
          </w:p>
          <w:p w14:paraId="4844E529"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甲方同意留存交割款項於乙方交割專戶之範圍如次：【請甲方於同意留存之業務項目前以「v」標示之，對於不同意留存之業務項目以「×」標示之】</w:t>
            </w:r>
          </w:p>
          <w:p w14:paraId="16182EFD"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以下全部業務項目。</w:t>
            </w:r>
          </w:p>
          <w:p w14:paraId="38CF5243"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在集中交易市場受託買賣有價證券。</w:t>
            </w:r>
          </w:p>
          <w:p w14:paraId="0493B095"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在其營業處所受託買賣有價證券。</w:t>
            </w:r>
          </w:p>
          <w:p w14:paraId="30E9E83F"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有價證券買賣融資融券。</w:t>
            </w:r>
          </w:p>
          <w:p w14:paraId="187F817F"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認購（售）權證履約。</w:t>
            </w:r>
          </w:p>
          <w:p w14:paraId="6E9798FC"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受託買賣外國有價證券及其複委託業務。</w:t>
            </w:r>
          </w:p>
          <w:p w14:paraId="48D4F00F"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代理買賣外國債券。</w:t>
            </w:r>
          </w:p>
          <w:p w14:paraId="2C0A5AAC"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有價證券借貸。</w:t>
            </w:r>
          </w:p>
          <w:p w14:paraId="24454F8E"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證券業務借貸款項。</w:t>
            </w:r>
          </w:p>
          <w:p w14:paraId="1209B09D"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不限用途款項借貸業務。</w:t>
            </w:r>
          </w:p>
          <w:p w14:paraId="18C92917"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財富管理業務。</w:t>
            </w:r>
          </w:p>
          <w:p w14:paraId="783A17B7"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營業處所自行買賣有價證券。</w:t>
            </w:r>
          </w:p>
          <w:p w14:paraId="67ACC8CE"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營業處所經營衍生性金融商品交易業務。</w:t>
            </w:r>
          </w:p>
          <w:p w14:paraId="6AA07474"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承銷有價證券。</w:t>
            </w:r>
          </w:p>
          <w:p w14:paraId="28A07C61"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以委任或信託方式經營全權委託投資業務。</w:t>
            </w:r>
          </w:p>
          <w:p w14:paraId="2FD060D8" w14:textId="77777777" w:rsidR="00A127A6" w:rsidRPr="00BD2498" w:rsidRDefault="00A127A6" w:rsidP="006A6417">
            <w:pPr>
              <w:adjustRightInd w:val="0"/>
              <w:snapToGrid w:val="0"/>
              <w:ind w:left="445" w:hangingChars="159" w:hanging="44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 其他經主管機關核准業務。</w:t>
            </w:r>
          </w:p>
          <w:p w14:paraId="1588575D" w14:textId="77777777" w:rsidR="006F6C10" w:rsidRPr="00BD2498" w:rsidRDefault="006F6C10" w:rsidP="006A6417">
            <w:pPr>
              <w:adjustRightInd w:val="0"/>
              <w:snapToGrid w:val="0"/>
              <w:spacing w:beforeLines="30" w:before="114" w:line="400" w:lineRule="atLeast"/>
              <w:ind w:left="560"/>
              <w:jc w:val="both"/>
              <w:rPr>
                <w:rFonts w:ascii="標楷體" w:eastAsia="標楷體" w:hAnsi="標楷體" w:cs="Times New Roman"/>
                <w:sz w:val="28"/>
                <w:szCs w:val="28"/>
              </w:rPr>
            </w:pPr>
          </w:p>
          <w:p w14:paraId="681FFC82" w14:textId="6046C1DE" w:rsidR="00A127A6" w:rsidRPr="00BD2498" w:rsidRDefault="00A127A6" w:rsidP="006A6417">
            <w:pPr>
              <w:adjustRightInd w:val="0"/>
              <w:snapToGrid w:val="0"/>
              <w:spacing w:beforeLines="30" w:before="114" w:line="400" w:lineRule="atLeast"/>
              <w:ind w:left="560"/>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甲方同意因有價證券所生孳息，或因公開收購、併購、現金減資及其他經主管機關核准之股務作業應收款，匯撥至乙方交割專戶；惟實際匯入之帳戶以發行公司、公開收購人或併購人之受委任機構之股務作業機制辦理。</w:t>
            </w:r>
          </w:p>
        </w:tc>
        <w:tc>
          <w:tcPr>
            <w:tcW w:w="2693" w:type="dxa"/>
          </w:tcPr>
          <w:p w14:paraId="2E26F05A" w14:textId="77777777" w:rsidR="00A127A6" w:rsidRPr="00BD2498" w:rsidRDefault="00A127A6" w:rsidP="00A127A6">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配合證券交易所修正「證券商交割專戶設置客戶分戶帳作業要點」第9條，爰修正本條。</w:t>
            </w:r>
          </w:p>
        </w:tc>
      </w:tr>
      <w:tr w:rsidR="00A127A6" w:rsidRPr="00BD2498" w14:paraId="6CBC9D37" w14:textId="77777777" w:rsidTr="006A6417">
        <w:trPr>
          <w:trHeight w:val="1001"/>
          <w:jc w:val="center"/>
        </w:trPr>
        <w:tc>
          <w:tcPr>
            <w:tcW w:w="3754" w:type="dxa"/>
          </w:tcPr>
          <w:p w14:paraId="675031EA"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t>第三條（支付款項之範圍及順序）</w:t>
            </w:r>
          </w:p>
          <w:p w14:paraId="0A97D24D"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就甲方之應支付款項，乙方應先以交割專戶甲方分戶帳內款項支應，支應之範圍及順序如下：</w:t>
            </w:r>
          </w:p>
          <w:p w14:paraId="7D6B83D9"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一、甲方委託乙方買賣、申購集中交易市場或櫃檯買賣市場有價證券應付乙方之款項及有價證券買賣融資融券應付乙方之款項。</w:t>
            </w:r>
          </w:p>
          <w:p w14:paraId="20AE1EA9"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二、甲方委託乙方買賣外國有價證券應付乙方之款項。</w:t>
            </w:r>
          </w:p>
          <w:p w14:paraId="52DAF290"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三、甲方申請認購權證履約應交乙方轉付權證發行人之款項。</w:t>
            </w:r>
          </w:p>
          <w:p w14:paraId="34986EDB"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四、甲方因與乙方從事代理買賣外國債券應付乙方之款項。</w:t>
            </w:r>
          </w:p>
          <w:p w14:paraId="56E19AA7"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五、甲方因與乙方從事有價證券借貸應付乙方之款項。</w:t>
            </w:r>
          </w:p>
          <w:p w14:paraId="27F6E35E"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六、甲方因與乙方從事證券業務借貸款項應付乙方之款項。</w:t>
            </w:r>
          </w:p>
          <w:p w14:paraId="457D59CD"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七、甲方因與乙方從事不限用途款項借貸業務應付乙方之款項。</w:t>
            </w:r>
          </w:p>
          <w:p w14:paraId="74EAE057"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八、甲方因與乙方從事財富管理業務應付乙方之款項。</w:t>
            </w:r>
          </w:p>
          <w:p w14:paraId="71AD65C2"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九、甲方因與乙方從事營業處所自行買賣有價證券應付乙方之款項。</w:t>
            </w:r>
          </w:p>
          <w:p w14:paraId="2425C2EE"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十、甲方因與乙方從事營業處所經營衍生性金融商品交易業務應付乙方之款項。</w:t>
            </w:r>
          </w:p>
          <w:p w14:paraId="57B3FD40" w14:textId="77777777"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十一、甲方因與乙方從事承銷有價證券業務應付乙方之款項。</w:t>
            </w:r>
          </w:p>
          <w:p w14:paraId="2F076375" w14:textId="77777777" w:rsidR="00A127A6" w:rsidRPr="00BD2498" w:rsidRDefault="00A127A6" w:rsidP="006A6417">
            <w:pPr>
              <w:adjustRightInd w:val="0"/>
              <w:snapToGrid w:val="0"/>
              <w:spacing w:line="400" w:lineRule="atLeast"/>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十二、甲方因與乙方從事全權委託投資業務應付乙方之款項。</w:t>
            </w:r>
          </w:p>
          <w:p w14:paraId="497F45DC" w14:textId="68EB730F"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十三、</w:t>
            </w:r>
            <w:r w:rsidRPr="00BD2498">
              <w:rPr>
                <w:rFonts w:ascii="標楷體" w:eastAsia="標楷體" w:hAnsi="標楷體" w:cs="Times New Roman" w:hint="eastAsia"/>
                <w:sz w:val="28"/>
                <w:szCs w:val="28"/>
                <w:u w:val="single"/>
              </w:rPr>
              <w:t>甲方透過乙方申購證券投資信託基金應交乙方</w:t>
            </w:r>
            <w:r w:rsidR="00D61820">
              <w:rPr>
                <w:rFonts w:ascii="標楷體" w:eastAsia="標楷體" w:hAnsi="標楷體" w:cs="Times New Roman" w:hint="eastAsia"/>
                <w:sz w:val="28"/>
                <w:szCs w:val="28"/>
                <w:u w:val="single"/>
              </w:rPr>
              <w:t>匯撥至基金專戶</w:t>
            </w:r>
            <w:r w:rsidRPr="00BD2498">
              <w:rPr>
                <w:rFonts w:ascii="標楷體" w:eastAsia="標楷體" w:hAnsi="標楷體" w:cs="Times New Roman" w:hint="eastAsia"/>
                <w:sz w:val="28"/>
                <w:szCs w:val="28"/>
                <w:u w:val="single"/>
              </w:rPr>
              <w:t>之款項。</w:t>
            </w:r>
          </w:p>
          <w:p w14:paraId="32A7F844" w14:textId="77777777"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u w:val="single"/>
              </w:rPr>
              <w:t>十四</w:t>
            </w:r>
            <w:r w:rsidRPr="00BD2498">
              <w:rPr>
                <w:rFonts w:ascii="標楷體" w:eastAsia="標楷體" w:hAnsi="標楷體" w:cs="Times New Roman" w:hint="eastAsia"/>
                <w:sz w:val="28"/>
                <w:szCs w:val="28"/>
              </w:rPr>
              <w:t>、甲方從事乙方其他經主管機關核准之業務。</w:t>
            </w:r>
          </w:p>
          <w:p w14:paraId="70EC1F64"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乙方發現甲方分戶帳內之款項不足以支應甲方所需之資金時，乙方得自甲方為從事買賣集中交易市場或櫃檯買賣市場有價證券交易開立之證券款項劃撥帳戶（以下簡稱「證券款項劃撥帳戶」）支應所需。</w:t>
            </w:r>
          </w:p>
          <w:p w14:paraId="2D7D459A" w14:textId="77777777" w:rsidR="00A127A6" w:rsidRPr="00BD2498" w:rsidRDefault="00A127A6" w:rsidP="009A0404">
            <w:pPr>
              <w:adjustRightInd w:val="0"/>
              <w:snapToGrid w:val="0"/>
              <w:spacing w:beforeLines="30" w:before="114" w:line="400" w:lineRule="atLeast"/>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乙方依前項處理後仍有資金不足之情事，應立即通知甲方，甲方應自行補足應支付之款項。</w:t>
            </w:r>
          </w:p>
        </w:tc>
        <w:tc>
          <w:tcPr>
            <w:tcW w:w="3754" w:type="dxa"/>
          </w:tcPr>
          <w:p w14:paraId="39E3EB9A" w14:textId="77777777"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第三條（支付款項之範圍及順序）</w:t>
            </w:r>
          </w:p>
          <w:p w14:paraId="77D257CC"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就甲方之應支付款項，乙方應先以交割專戶甲方分戶帳內款項支應，支應之範圍及順序如下：</w:t>
            </w:r>
          </w:p>
          <w:p w14:paraId="5B7F19AE"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一、甲方委託乙方買賣、申購集中交易市場或櫃檯買賣市場有價證券應付乙方之款項及有價證券買賣融資融券應付乙方之款項。</w:t>
            </w:r>
          </w:p>
          <w:p w14:paraId="360909B2"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二、甲方委託乙方買賣外國有價證券應付乙方之款項。</w:t>
            </w:r>
          </w:p>
          <w:p w14:paraId="13C5B135"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三、甲方申請認購權證履約應交乙方轉付權證發行人之款項。</w:t>
            </w:r>
          </w:p>
          <w:p w14:paraId="222BF2EE"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四、甲方因與乙方從事代理買賣外國債券應付乙方之款項。</w:t>
            </w:r>
          </w:p>
          <w:p w14:paraId="0B13628A"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五、甲方因與乙方從事有價證券借貸應付乙方之款項。</w:t>
            </w:r>
          </w:p>
          <w:p w14:paraId="01B805F4"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六、甲方因與乙方從事證券業務借貸款項應付乙方之款項。</w:t>
            </w:r>
          </w:p>
          <w:p w14:paraId="0BC90F80"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七、甲方因與乙方從事不限用途款項借貸業務應付乙方之款項。</w:t>
            </w:r>
          </w:p>
          <w:p w14:paraId="3B645B46"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八、甲方因與乙方從事財富管理業務應付乙方之款項。</w:t>
            </w:r>
          </w:p>
          <w:p w14:paraId="140E58A0"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九、甲方因與乙方從事營業處所自行買賣有價證券應付乙方之款項。</w:t>
            </w:r>
          </w:p>
          <w:p w14:paraId="056AB244" w14:textId="77777777" w:rsidR="00A127A6" w:rsidRPr="00BD2498" w:rsidRDefault="00A127A6" w:rsidP="006A6417">
            <w:pPr>
              <w:adjustRightInd w:val="0"/>
              <w:snapToGrid w:val="0"/>
              <w:ind w:left="515" w:hangingChars="184" w:hanging="515"/>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十、甲方因與乙方從事營業處所經營衍生性金融商品交易業務應付乙方之款項。</w:t>
            </w:r>
          </w:p>
          <w:p w14:paraId="6945A0C2" w14:textId="77777777"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十一、甲方因與乙方從事承銷有價證券業務應付乙方之款項。</w:t>
            </w:r>
          </w:p>
          <w:p w14:paraId="2F352C50" w14:textId="77777777"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十二、甲方因與乙方從事全權委託投資業務應付乙方之款項。</w:t>
            </w:r>
          </w:p>
          <w:p w14:paraId="25F1B9E1" w14:textId="77777777" w:rsidR="00A127A6" w:rsidRPr="00BD2498" w:rsidRDefault="00A127A6" w:rsidP="006A6417">
            <w:pPr>
              <w:adjustRightInd w:val="0"/>
              <w:snapToGrid w:val="0"/>
              <w:ind w:left="742" w:hangingChars="265" w:hanging="742"/>
              <w:jc w:val="both"/>
              <w:rPr>
                <w:rFonts w:ascii="標楷體" w:eastAsia="標楷體" w:hAnsi="標楷體" w:cs="Times New Roman"/>
                <w:sz w:val="28"/>
                <w:szCs w:val="28"/>
              </w:rPr>
            </w:pPr>
            <w:r w:rsidRPr="00BD2498">
              <w:rPr>
                <w:rFonts w:ascii="標楷體" w:eastAsia="標楷體" w:hAnsi="標楷體" w:cs="Times New Roman" w:hint="eastAsia"/>
                <w:sz w:val="28"/>
                <w:szCs w:val="28"/>
              </w:rPr>
              <w:t>十三、甲方從事乙方其他經主管機關核准之業務。</w:t>
            </w:r>
          </w:p>
          <w:p w14:paraId="4574A4C9" w14:textId="77777777" w:rsidR="00A127A6" w:rsidRPr="00BD2498" w:rsidRDefault="00A127A6" w:rsidP="006A6417">
            <w:pPr>
              <w:adjustRightInd w:val="0"/>
              <w:snapToGrid w:val="0"/>
              <w:spacing w:beforeLines="30" w:before="114"/>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乙方發現甲方分戶帳內之款項不足以支應甲方所需之資金時，乙方得自甲方為從事買賣集中交易市場或櫃檯買賣市場有價證券交易開立之證券款項劃撥帳戶（以下簡稱「證券款項劃撥帳戶」）支應所需。</w:t>
            </w:r>
          </w:p>
          <w:p w14:paraId="26E287C4" w14:textId="77777777" w:rsidR="00A127A6" w:rsidRPr="00BD2498" w:rsidRDefault="00A127A6" w:rsidP="009A0404">
            <w:pPr>
              <w:adjustRightInd w:val="0"/>
              <w:snapToGrid w:val="0"/>
              <w:spacing w:beforeLines="30" w:before="114" w:line="400" w:lineRule="atLeast"/>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乙方依前項處理後仍有資金不足之情事，應立即通知甲方，甲方應自行補足應支付之款項。</w:t>
            </w:r>
          </w:p>
        </w:tc>
        <w:tc>
          <w:tcPr>
            <w:tcW w:w="2693" w:type="dxa"/>
          </w:tcPr>
          <w:p w14:paraId="5B7F2E63" w14:textId="61347D21" w:rsidR="00A127A6" w:rsidRPr="00BD2498" w:rsidRDefault="00A127A6" w:rsidP="00A127A6">
            <w:pPr>
              <w:adjustRightInd w:val="0"/>
              <w:snapToGrid w:val="0"/>
              <w:ind w:left="526" w:hangingChars="188" w:hanging="526"/>
              <w:jc w:val="both"/>
              <w:rPr>
                <w:rFonts w:ascii="標楷體" w:eastAsia="標楷體" w:hAnsi="標楷體" w:cs="Times New Roman"/>
                <w:sz w:val="28"/>
                <w:szCs w:val="28"/>
              </w:rPr>
            </w:pPr>
            <w:r w:rsidRPr="00BD2498">
              <w:rPr>
                <w:rFonts w:ascii="標楷體" w:eastAsia="標楷體" w:hAnsi="標楷體" w:cs="Times New Roman" w:hint="eastAsia"/>
                <w:sz w:val="28"/>
                <w:szCs w:val="28"/>
              </w:rPr>
              <w:lastRenderedPageBreak/>
              <w:t>一、配合證券交易所修正「證券商交割專戶設置客戶分戶帳作業要點」第9條，爰修正本條。</w:t>
            </w:r>
          </w:p>
          <w:p w14:paraId="3923710B" w14:textId="14BE43E6" w:rsidR="00A127A6" w:rsidRPr="00BD2498" w:rsidRDefault="00A127A6" w:rsidP="006A6417">
            <w:pPr>
              <w:adjustRightInd w:val="0"/>
              <w:snapToGrid w:val="0"/>
              <w:jc w:val="both"/>
              <w:rPr>
                <w:rFonts w:ascii="標楷體" w:eastAsia="標楷體" w:hAnsi="標楷體" w:cs="Times New Roman"/>
                <w:sz w:val="28"/>
                <w:szCs w:val="28"/>
              </w:rPr>
            </w:pPr>
            <w:r w:rsidRPr="00BD2498">
              <w:rPr>
                <w:rFonts w:ascii="標楷體" w:eastAsia="標楷體" w:hAnsi="標楷體" w:cs="Times New Roman" w:hint="eastAsia"/>
                <w:sz w:val="28"/>
                <w:szCs w:val="28"/>
              </w:rPr>
              <w:t>二、款次調整。</w:t>
            </w:r>
          </w:p>
          <w:p w14:paraId="3D3AB2BD" w14:textId="77777777" w:rsidR="00A127A6" w:rsidRPr="00BD2498" w:rsidRDefault="00A127A6" w:rsidP="006A6417">
            <w:pPr>
              <w:adjustRightInd w:val="0"/>
              <w:snapToGrid w:val="0"/>
              <w:jc w:val="both"/>
              <w:rPr>
                <w:rFonts w:ascii="標楷體" w:eastAsia="標楷體" w:hAnsi="標楷體" w:cs="Times New Roman"/>
                <w:sz w:val="28"/>
                <w:szCs w:val="28"/>
              </w:rPr>
            </w:pPr>
          </w:p>
          <w:p w14:paraId="1FB48E1C" w14:textId="77777777" w:rsidR="00A127A6" w:rsidRPr="00BD2498" w:rsidRDefault="00A127A6" w:rsidP="006A6417">
            <w:pPr>
              <w:adjustRightInd w:val="0"/>
              <w:snapToGrid w:val="0"/>
              <w:ind w:left="28" w:hangingChars="10" w:hanging="28"/>
              <w:jc w:val="both"/>
              <w:rPr>
                <w:rFonts w:ascii="標楷體" w:eastAsia="標楷體" w:hAnsi="標楷體" w:cs="Times New Roman"/>
                <w:sz w:val="28"/>
                <w:szCs w:val="28"/>
              </w:rPr>
            </w:pPr>
          </w:p>
        </w:tc>
      </w:tr>
    </w:tbl>
    <w:p w14:paraId="18E62C91" w14:textId="77777777" w:rsidR="00F04B10" w:rsidRPr="00BD2498" w:rsidRDefault="00F04B10" w:rsidP="00A127A6">
      <w:pPr>
        <w:rPr>
          <w:szCs w:val="28"/>
        </w:rPr>
      </w:pPr>
    </w:p>
    <w:sectPr w:rsidR="00F04B10" w:rsidRPr="00BD2498" w:rsidSect="006720B3">
      <w:footerReference w:type="default" r:id="rId7"/>
      <w:pgSz w:w="11906" w:h="16838" w:code="9"/>
      <w:pgMar w:top="1134" w:right="1134" w:bottom="1134" w:left="1134"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C8017" w14:textId="77777777" w:rsidR="0073628B" w:rsidRDefault="0073628B" w:rsidP="00E50CDD">
      <w:pPr>
        <w:spacing w:line="240" w:lineRule="auto"/>
      </w:pPr>
      <w:r>
        <w:separator/>
      </w:r>
    </w:p>
  </w:endnote>
  <w:endnote w:type="continuationSeparator" w:id="0">
    <w:p w14:paraId="0C66DBBF" w14:textId="77777777" w:rsidR="0073628B" w:rsidRDefault="0073628B" w:rsidP="00E50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679310"/>
      <w:docPartObj>
        <w:docPartGallery w:val="Page Numbers (Bottom of Page)"/>
        <w:docPartUnique/>
      </w:docPartObj>
    </w:sdtPr>
    <w:sdtContent>
      <w:p w14:paraId="40D3A640" w14:textId="4A7912DA" w:rsidR="006720B3" w:rsidRDefault="006720B3">
        <w:pPr>
          <w:pStyle w:val="a6"/>
          <w:jc w:val="center"/>
        </w:pPr>
        <w:r>
          <w:fldChar w:fldCharType="begin"/>
        </w:r>
        <w:r>
          <w:instrText>PAGE   \* MERGEFORMAT</w:instrText>
        </w:r>
        <w:r>
          <w:fldChar w:fldCharType="separate"/>
        </w:r>
        <w:r>
          <w:rPr>
            <w:lang w:val="zh-TW"/>
          </w:rPr>
          <w:t>2</w:t>
        </w:r>
        <w:r>
          <w:fldChar w:fldCharType="end"/>
        </w:r>
      </w:p>
    </w:sdtContent>
  </w:sdt>
  <w:p w14:paraId="3172D877" w14:textId="77777777" w:rsidR="006720B3" w:rsidRDefault="00672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7EF9" w14:textId="77777777" w:rsidR="0073628B" w:rsidRDefault="0073628B" w:rsidP="00E50CDD">
      <w:pPr>
        <w:spacing w:line="240" w:lineRule="auto"/>
      </w:pPr>
      <w:r>
        <w:separator/>
      </w:r>
    </w:p>
  </w:footnote>
  <w:footnote w:type="continuationSeparator" w:id="0">
    <w:p w14:paraId="50E057C6" w14:textId="77777777" w:rsidR="0073628B" w:rsidRDefault="0073628B" w:rsidP="00E50C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CB"/>
    <w:multiLevelType w:val="hybridMultilevel"/>
    <w:tmpl w:val="E2F694A2"/>
    <w:lvl w:ilvl="0" w:tplc="597A0638">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002D6A"/>
    <w:multiLevelType w:val="hybridMultilevel"/>
    <w:tmpl w:val="E76E1EF6"/>
    <w:lvl w:ilvl="0" w:tplc="6B8C6A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2660948">
    <w:abstractNumId w:val="1"/>
  </w:num>
  <w:num w:numId="2" w16cid:durableId="18429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10"/>
    <w:rsid w:val="00000B07"/>
    <w:rsid w:val="00030F27"/>
    <w:rsid w:val="0004519A"/>
    <w:rsid w:val="00060EBF"/>
    <w:rsid w:val="00090CFC"/>
    <w:rsid w:val="000B674C"/>
    <w:rsid w:val="000E3AD8"/>
    <w:rsid w:val="00136AF9"/>
    <w:rsid w:val="001376D1"/>
    <w:rsid w:val="00137912"/>
    <w:rsid w:val="00193EC3"/>
    <w:rsid w:val="001C16E3"/>
    <w:rsid w:val="001C3B4C"/>
    <w:rsid w:val="00231364"/>
    <w:rsid w:val="00292582"/>
    <w:rsid w:val="00294A7F"/>
    <w:rsid w:val="00294D42"/>
    <w:rsid w:val="002A16F4"/>
    <w:rsid w:val="002C520F"/>
    <w:rsid w:val="003236C3"/>
    <w:rsid w:val="0032383A"/>
    <w:rsid w:val="00325129"/>
    <w:rsid w:val="00327421"/>
    <w:rsid w:val="0034006F"/>
    <w:rsid w:val="003507F7"/>
    <w:rsid w:val="00363E3D"/>
    <w:rsid w:val="003920BC"/>
    <w:rsid w:val="003973CB"/>
    <w:rsid w:val="003B0BE3"/>
    <w:rsid w:val="003C221B"/>
    <w:rsid w:val="003D201F"/>
    <w:rsid w:val="003E6E52"/>
    <w:rsid w:val="00413BEF"/>
    <w:rsid w:val="00417469"/>
    <w:rsid w:val="0043152A"/>
    <w:rsid w:val="00431E16"/>
    <w:rsid w:val="00441541"/>
    <w:rsid w:val="0045732E"/>
    <w:rsid w:val="00467DFD"/>
    <w:rsid w:val="0049219B"/>
    <w:rsid w:val="004B250E"/>
    <w:rsid w:val="004C068F"/>
    <w:rsid w:val="004D601B"/>
    <w:rsid w:val="004D7F10"/>
    <w:rsid w:val="004E3A16"/>
    <w:rsid w:val="004E665D"/>
    <w:rsid w:val="004F493A"/>
    <w:rsid w:val="00510BCB"/>
    <w:rsid w:val="00522E10"/>
    <w:rsid w:val="00533331"/>
    <w:rsid w:val="005460C4"/>
    <w:rsid w:val="00554AA3"/>
    <w:rsid w:val="00570D37"/>
    <w:rsid w:val="0057687B"/>
    <w:rsid w:val="0059330F"/>
    <w:rsid w:val="006028C9"/>
    <w:rsid w:val="00622BEE"/>
    <w:rsid w:val="00631F97"/>
    <w:rsid w:val="00650590"/>
    <w:rsid w:val="00664E72"/>
    <w:rsid w:val="006720B3"/>
    <w:rsid w:val="006A0673"/>
    <w:rsid w:val="006E0957"/>
    <w:rsid w:val="006F6C10"/>
    <w:rsid w:val="0073628B"/>
    <w:rsid w:val="007A5A31"/>
    <w:rsid w:val="007C261E"/>
    <w:rsid w:val="007C4894"/>
    <w:rsid w:val="007D1E88"/>
    <w:rsid w:val="007E5440"/>
    <w:rsid w:val="007F027F"/>
    <w:rsid w:val="00811BF9"/>
    <w:rsid w:val="00813618"/>
    <w:rsid w:val="008A4940"/>
    <w:rsid w:val="008C0A6F"/>
    <w:rsid w:val="008D076D"/>
    <w:rsid w:val="008E522A"/>
    <w:rsid w:val="00946163"/>
    <w:rsid w:val="00962E7B"/>
    <w:rsid w:val="00982119"/>
    <w:rsid w:val="00985786"/>
    <w:rsid w:val="009A0404"/>
    <w:rsid w:val="009A6297"/>
    <w:rsid w:val="009C6202"/>
    <w:rsid w:val="009D54DC"/>
    <w:rsid w:val="00A125AE"/>
    <w:rsid w:val="00A127A6"/>
    <w:rsid w:val="00A20163"/>
    <w:rsid w:val="00A46702"/>
    <w:rsid w:val="00A75841"/>
    <w:rsid w:val="00A92856"/>
    <w:rsid w:val="00A95409"/>
    <w:rsid w:val="00A95C92"/>
    <w:rsid w:val="00B00C2B"/>
    <w:rsid w:val="00B0490D"/>
    <w:rsid w:val="00B55311"/>
    <w:rsid w:val="00B82913"/>
    <w:rsid w:val="00BA0C63"/>
    <w:rsid w:val="00BB68BE"/>
    <w:rsid w:val="00BC1691"/>
    <w:rsid w:val="00BC51EB"/>
    <w:rsid w:val="00BD2498"/>
    <w:rsid w:val="00BD66B4"/>
    <w:rsid w:val="00C00EA7"/>
    <w:rsid w:val="00C14B51"/>
    <w:rsid w:val="00C16D35"/>
    <w:rsid w:val="00C203E4"/>
    <w:rsid w:val="00C236AA"/>
    <w:rsid w:val="00C31499"/>
    <w:rsid w:val="00C36867"/>
    <w:rsid w:val="00C45C7D"/>
    <w:rsid w:val="00C54E5C"/>
    <w:rsid w:val="00C67F2E"/>
    <w:rsid w:val="00CD7F21"/>
    <w:rsid w:val="00CE7F1A"/>
    <w:rsid w:val="00D135A9"/>
    <w:rsid w:val="00D25557"/>
    <w:rsid w:val="00D30F96"/>
    <w:rsid w:val="00D35DD6"/>
    <w:rsid w:val="00D45C39"/>
    <w:rsid w:val="00D56F1E"/>
    <w:rsid w:val="00D575F5"/>
    <w:rsid w:val="00D61820"/>
    <w:rsid w:val="00D65228"/>
    <w:rsid w:val="00D8422D"/>
    <w:rsid w:val="00D943BF"/>
    <w:rsid w:val="00DA4E4B"/>
    <w:rsid w:val="00DA7E53"/>
    <w:rsid w:val="00DB07E6"/>
    <w:rsid w:val="00DC57F9"/>
    <w:rsid w:val="00DF0337"/>
    <w:rsid w:val="00DF4D4F"/>
    <w:rsid w:val="00E15489"/>
    <w:rsid w:val="00E370E4"/>
    <w:rsid w:val="00E4290D"/>
    <w:rsid w:val="00E50CDD"/>
    <w:rsid w:val="00E5368D"/>
    <w:rsid w:val="00EA585E"/>
    <w:rsid w:val="00F04B10"/>
    <w:rsid w:val="00F070E1"/>
    <w:rsid w:val="00F42FAC"/>
    <w:rsid w:val="00F84640"/>
    <w:rsid w:val="00F84D65"/>
    <w:rsid w:val="00FA4BEA"/>
    <w:rsid w:val="00FB01E0"/>
    <w:rsid w:val="00FB74D8"/>
    <w:rsid w:val="00FC793D"/>
    <w:rsid w:val="00FD7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D327"/>
  <w15:chartTrackingRefBased/>
  <w15:docId w15:val="{817C882D-E855-4E80-9A50-CD11F18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標楷體" w:hAnsi="Calibri" w:cstheme="minorBidi"/>
        <w:kern w:val="2"/>
        <w:sz w:val="28"/>
        <w:szCs w:val="22"/>
        <w:lang w:val="en-US" w:eastAsia="zh-TW" w:bidi="ar-SA"/>
      </w:rPr>
    </w:rPrDefault>
    <w:pPrDefault>
      <w:pPr>
        <w:spacing w:line="4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5841"/>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1"/>
    <w:link w:val="12"/>
    <w:qFormat/>
    <w:rsid w:val="008E522A"/>
    <w:pPr>
      <w:snapToGrid w:val="0"/>
      <w:spacing w:before="0" w:after="0" w:line="440" w:lineRule="atLeast"/>
    </w:pPr>
    <w:rPr>
      <w:bCs w:val="0"/>
      <w:sz w:val="32"/>
    </w:rPr>
  </w:style>
  <w:style w:type="character" w:customStyle="1" w:styleId="12">
    <w:name w:val="樣式1 字元"/>
    <w:basedOn w:val="10"/>
    <w:link w:val="11"/>
    <w:rsid w:val="008E522A"/>
    <w:rPr>
      <w:rFonts w:asciiTheme="majorHAnsi" w:eastAsiaTheme="majorEastAsia" w:hAnsiTheme="majorHAnsi" w:cstheme="majorBidi"/>
      <w:b/>
      <w:bCs w:val="0"/>
      <w:kern w:val="52"/>
      <w:sz w:val="32"/>
      <w:szCs w:val="52"/>
    </w:rPr>
  </w:style>
  <w:style w:type="character" w:customStyle="1" w:styleId="10">
    <w:name w:val="標題 1 字元"/>
    <w:basedOn w:val="a0"/>
    <w:link w:val="1"/>
    <w:uiPriority w:val="9"/>
    <w:rsid w:val="00A75841"/>
    <w:rPr>
      <w:rFonts w:asciiTheme="majorHAnsi" w:eastAsiaTheme="majorEastAsia" w:hAnsiTheme="majorHAnsi" w:cstheme="majorBidi"/>
      <w:b/>
      <w:bCs/>
      <w:kern w:val="52"/>
      <w:sz w:val="52"/>
      <w:szCs w:val="52"/>
    </w:rPr>
  </w:style>
  <w:style w:type="table" w:styleId="a3">
    <w:name w:val="Table Grid"/>
    <w:basedOn w:val="a1"/>
    <w:uiPriority w:val="39"/>
    <w:rsid w:val="00F04B10"/>
    <w:pPr>
      <w:spacing w:line="240" w:lineRule="auto"/>
    </w:pPr>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CDD"/>
    <w:pPr>
      <w:tabs>
        <w:tab w:val="center" w:pos="4153"/>
        <w:tab w:val="right" w:pos="8306"/>
      </w:tabs>
      <w:snapToGrid w:val="0"/>
    </w:pPr>
    <w:rPr>
      <w:sz w:val="20"/>
      <w:szCs w:val="20"/>
    </w:rPr>
  </w:style>
  <w:style w:type="character" w:customStyle="1" w:styleId="a5">
    <w:name w:val="頁首 字元"/>
    <w:basedOn w:val="a0"/>
    <w:link w:val="a4"/>
    <w:uiPriority w:val="99"/>
    <w:rsid w:val="00E50CDD"/>
    <w:rPr>
      <w:sz w:val="20"/>
      <w:szCs w:val="20"/>
    </w:rPr>
  </w:style>
  <w:style w:type="paragraph" w:styleId="a6">
    <w:name w:val="footer"/>
    <w:basedOn w:val="a"/>
    <w:link w:val="a7"/>
    <w:uiPriority w:val="99"/>
    <w:unhideWhenUsed/>
    <w:rsid w:val="00E50CDD"/>
    <w:pPr>
      <w:tabs>
        <w:tab w:val="center" w:pos="4153"/>
        <w:tab w:val="right" w:pos="8306"/>
      </w:tabs>
      <w:snapToGrid w:val="0"/>
    </w:pPr>
    <w:rPr>
      <w:sz w:val="20"/>
      <w:szCs w:val="20"/>
    </w:rPr>
  </w:style>
  <w:style w:type="character" w:customStyle="1" w:styleId="a7">
    <w:name w:val="頁尾 字元"/>
    <w:basedOn w:val="a0"/>
    <w:link w:val="a6"/>
    <w:uiPriority w:val="99"/>
    <w:rsid w:val="00E50CDD"/>
    <w:rPr>
      <w:sz w:val="20"/>
      <w:szCs w:val="20"/>
    </w:rPr>
  </w:style>
  <w:style w:type="paragraph" w:styleId="a8">
    <w:name w:val="List Paragraph"/>
    <w:basedOn w:val="a"/>
    <w:uiPriority w:val="34"/>
    <w:qFormat/>
    <w:rsid w:val="00EA585E"/>
    <w:pPr>
      <w:ind w:leftChars="200" w:left="480"/>
    </w:pPr>
  </w:style>
  <w:style w:type="character" w:styleId="a9">
    <w:name w:val="annotation reference"/>
    <w:basedOn w:val="a0"/>
    <w:uiPriority w:val="99"/>
    <w:semiHidden/>
    <w:unhideWhenUsed/>
    <w:rsid w:val="005460C4"/>
    <w:rPr>
      <w:sz w:val="18"/>
      <w:szCs w:val="18"/>
    </w:rPr>
  </w:style>
  <w:style w:type="paragraph" w:styleId="aa">
    <w:name w:val="annotation text"/>
    <w:basedOn w:val="a"/>
    <w:link w:val="ab"/>
    <w:uiPriority w:val="99"/>
    <w:unhideWhenUsed/>
    <w:rsid w:val="005460C4"/>
  </w:style>
  <w:style w:type="character" w:customStyle="1" w:styleId="ab">
    <w:name w:val="註解文字 字元"/>
    <w:basedOn w:val="a0"/>
    <w:link w:val="aa"/>
    <w:uiPriority w:val="99"/>
    <w:rsid w:val="005460C4"/>
  </w:style>
  <w:style w:type="paragraph" w:styleId="ac">
    <w:name w:val="annotation subject"/>
    <w:basedOn w:val="aa"/>
    <w:next w:val="aa"/>
    <w:link w:val="ad"/>
    <w:uiPriority w:val="99"/>
    <w:semiHidden/>
    <w:unhideWhenUsed/>
    <w:rsid w:val="005460C4"/>
    <w:rPr>
      <w:b/>
      <w:bCs/>
    </w:rPr>
  </w:style>
  <w:style w:type="character" w:customStyle="1" w:styleId="ad">
    <w:name w:val="註解主旨 字元"/>
    <w:basedOn w:val="ab"/>
    <w:link w:val="ac"/>
    <w:uiPriority w:val="99"/>
    <w:semiHidden/>
    <w:rsid w:val="005460C4"/>
    <w:rPr>
      <w:b/>
      <w:bCs/>
    </w:rPr>
  </w:style>
  <w:style w:type="paragraph" w:styleId="ae">
    <w:name w:val="Revision"/>
    <w:hidden/>
    <w:uiPriority w:val="99"/>
    <w:semiHidden/>
    <w:rsid w:val="00D6182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龔世芬</dc:creator>
  <cp:keywords/>
  <dc:description/>
  <cp:lastModifiedBy>629 TWSA</cp:lastModifiedBy>
  <cp:revision>2</cp:revision>
  <cp:lastPrinted>2024-12-03T01:37:00Z</cp:lastPrinted>
  <dcterms:created xsi:type="dcterms:W3CDTF">2025-01-10T01:23:00Z</dcterms:created>
  <dcterms:modified xsi:type="dcterms:W3CDTF">2025-01-10T01:23:00Z</dcterms:modified>
</cp:coreProperties>
</file>